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B50" w:rsidRDefault="006E11C9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92B50">
        <w:rPr>
          <w:rFonts w:ascii="Times New Roman" w:eastAsia="Times New Roman" w:hAnsi="Times New Roman" w:cs="Times New Roman"/>
          <w:noProof/>
          <w:snapToGrid w:val="0"/>
          <w:sz w:val="24"/>
          <w:szCs w:val="20"/>
          <w:lang w:val="bg-BG" w:eastAsia="bg-BG"/>
        </w:rPr>
        <w:drawing>
          <wp:anchor distT="0" distB="0" distL="114300" distR="114300" simplePos="0" relativeHeight="251657216" behindDoc="0" locked="0" layoutInCell="1" allowOverlap="1" wp14:anchorId="19434F5A" wp14:editId="46480051">
            <wp:simplePos x="0" y="0"/>
            <wp:positionH relativeFrom="column">
              <wp:posOffset>307975</wp:posOffset>
            </wp:positionH>
            <wp:positionV relativeFrom="paragraph">
              <wp:posOffset>49530</wp:posOffset>
            </wp:positionV>
            <wp:extent cx="1008380" cy="1043940"/>
            <wp:effectExtent l="0" t="0" r="0" b="0"/>
            <wp:wrapNone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2B50">
        <w:rPr>
          <w:rFonts w:ascii="Times New Roman" w:eastAsia="Times New Roman" w:hAnsi="Times New Roman" w:cs="Times New Roman"/>
          <w:noProof/>
          <w:snapToGrid w:val="0"/>
          <w:sz w:val="24"/>
          <w:szCs w:val="20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53410E59" wp14:editId="01D04DE5">
            <wp:simplePos x="0" y="0"/>
            <wp:positionH relativeFrom="column">
              <wp:posOffset>4858385</wp:posOffset>
            </wp:positionH>
            <wp:positionV relativeFrom="paragraph">
              <wp:posOffset>123190</wp:posOffset>
            </wp:positionV>
            <wp:extent cx="1017905" cy="8712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11C9" w:rsidRPr="006E11C9" w:rsidRDefault="006E11C9" w:rsidP="006E11C9">
      <w:pPr>
        <w:pBdr>
          <w:bottom w:val="single" w:sz="4" w:space="1" w:color="auto"/>
        </w:pBdr>
        <w:tabs>
          <w:tab w:val="left" w:pos="375"/>
          <w:tab w:val="center" w:pos="4536"/>
          <w:tab w:val="center" w:pos="4960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val="bg-BG" w:eastAsia="bg-BG"/>
        </w:rPr>
      </w:pPr>
      <w:r w:rsidRPr="00C92B50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bg-BG" w:eastAsia="bg-BG"/>
        </w:rPr>
        <w:drawing>
          <wp:inline distT="0" distB="0" distL="0" distR="0" wp14:anchorId="1086E0C0" wp14:editId="2168F2C7">
            <wp:extent cx="628650" cy="62865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B50" w:rsidRDefault="00C92B50" w:rsidP="00C92B50">
      <w:pPr>
        <w:pBdr>
          <w:bottom w:val="single" w:sz="4" w:space="1" w:color="auto"/>
        </w:pBdr>
        <w:tabs>
          <w:tab w:val="left" w:pos="375"/>
          <w:tab w:val="center" w:pos="4536"/>
          <w:tab w:val="center" w:pos="4960"/>
          <w:tab w:val="right" w:pos="9072"/>
        </w:tabs>
        <w:spacing w:after="0" w:line="240" w:lineRule="auto"/>
        <w:jc w:val="center"/>
        <w:rPr>
          <w:rFonts w:ascii="Calibri Light" w:eastAsia="Times New Roman" w:hAnsi="Calibri Light" w:cs="Calibri Light"/>
          <w:noProof/>
          <w:color w:val="002060"/>
          <w:sz w:val="16"/>
          <w:szCs w:val="16"/>
          <w:lang w:val="bg-BG" w:eastAsia="bg-BG"/>
        </w:rPr>
      </w:pPr>
      <w:bookmarkStart w:id="0" w:name="_Hlk518295019"/>
      <w:r w:rsidRPr="00C92B50">
        <w:rPr>
          <w:rFonts w:ascii="Calibri Light" w:eastAsia="Times New Roman" w:hAnsi="Calibri Light" w:cs="Calibri Light"/>
          <w:noProof/>
          <w:color w:val="002060"/>
          <w:sz w:val="16"/>
          <w:szCs w:val="16"/>
          <w:lang w:val="bg-BG" w:eastAsia="bg-BG"/>
        </w:rPr>
        <w:t>МИГ ЛОМ</w:t>
      </w:r>
    </w:p>
    <w:bookmarkEnd w:id="0"/>
    <w:p w:rsidR="00CB189B" w:rsidRPr="00C92B50" w:rsidRDefault="00CB189B" w:rsidP="00C92B50">
      <w:pPr>
        <w:pBdr>
          <w:bottom w:val="single" w:sz="4" w:space="1" w:color="auto"/>
        </w:pBdr>
        <w:tabs>
          <w:tab w:val="left" w:pos="375"/>
          <w:tab w:val="center" w:pos="4536"/>
          <w:tab w:val="center" w:pos="4960"/>
          <w:tab w:val="right" w:pos="9072"/>
        </w:tabs>
        <w:spacing w:after="0" w:line="240" w:lineRule="auto"/>
        <w:jc w:val="center"/>
        <w:rPr>
          <w:rFonts w:ascii="Calibri Light" w:eastAsia="Times New Roman" w:hAnsi="Calibri Light" w:cs="Calibri Light"/>
          <w:noProof/>
          <w:color w:val="002060"/>
          <w:sz w:val="16"/>
          <w:szCs w:val="16"/>
          <w:lang w:val="bg-BG" w:eastAsia="bg-BG"/>
        </w:rPr>
      </w:pPr>
    </w:p>
    <w:p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КАНДИДАТИТЕ ПО ОПЕРАТИВНА ПРОГРАМА </w:t>
      </w:r>
    </w:p>
    <w:p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„РАЗВИТИЕ НА ЧОВЕШКИТЕ РЕСУРСИ“ 2014 – 2020 </w:t>
      </w:r>
    </w:p>
    <w:p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:rsidR="009C5BBD" w:rsidRDefault="009C5BBD" w:rsidP="009C5BB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кандидатите по Оперативна Програма „Развитие на Човешките Ресурси“ 2014 – 2020 г. е разработена в изпълнение на член 125, ал.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1268/2012.</w:t>
      </w:r>
      <w:bookmarkStart w:id="1" w:name="_GoBack"/>
      <w:bookmarkEnd w:id="1"/>
    </w:p>
    <w:p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:rsidR="0002134B" w:rsidRPr="00DC3857" w:rsidRDefault="009C5BBD" w:rsidP="0002134B">
      <w:pPr>
        <w:ind w:firstLine="22"/>
        <w:jc w:val="both"/>
        <w:rPr>
          <w:rFonts w:ascii="Calibri" w:eastAsia="Calibri" w:hAnsi="Calibri" w:cs="Times New Roman"/>
          <w:sz w:val="24"/>
          <w:szCs w:val="24"/>
          <w:lang w:val="bg-BG"/>
        </w:rPr>
      </w:pPr>
      <w:r w:rsidRPr="00022D73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При подаване на проектни предложения кандидатите трябва да представят счетоводен баланс за </w:t>
      </w:r>
      <w:r w:rsidR="0093468B">
        <w:rPr>
          <w:rFonts w:ascii="Times New Roman" w:hAnsi="Times New Roman" w:cs="Times New Roman"/>
          <w:color w:val="FF0000"/>
          <w:sz w:val="24"/>
          <w:szCs w:val="24"/>
          <w:lang w:val="bg-BG"/>
        </w:rPr>
        <w:t>последната</w:t>
      </w:r>
      <w:r w:rsidR="0093468B" w:rsidRPr="00022D73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022D73">
        <w:rPr>
          <w:rFonts w:ascii="Times New Roman" w:hAnsi="Times New Roman" w:cs="Times New Roman"/>
          <w:color w:val="FF0000"/>
          <w:sz w:val="24"/>
          <w:szCs w:val="24"/>
          <w:lang w:val="bg-BG"/>
        </w:rPr>
        <w:t>финансов</w:t>
      </w:r>
      <w:r w:rsidR="00207120">
        <w:rPr>
          <w:rFonts w:ascii="Times New Roman" w:hAnsi="Times New Roman" w:cs="Times New Roman"/>
          <w:color w:val="FF0000"/>
          <w:sz w:val="24"/>
          <w:szCs w:val="24"/>
          <w:lang w:val="bg-BG"/>
        </w:rPr>
        <w:t>а</w:t>
      </w:r>
      <w:r w:rsidRPr="00022D73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годин</w:t>
      </w:r>
      <w:r w:rsidR="00207120">
        <w:rPr>
          <w:rFonts w:ascii="Times New Roman" w:hAnsi="Times New Roman" w:cs="Times New Roman"/>
          <w:color w:val="FF0000"/>
          <w:sz w:val="24"/>
          <w:szCs w:val="24"/>
          <w:lang w:val="bg-BG"/>
        </w:rPr>
        <w:t>а</w:t>
      </w:r>
      <w:r w:rsidRPr="00022D73">
        <w:rPr>
          <w:rStyle w:val="af2"/>
          <w:rFonts w:ascii="Times New Roman" w:hAnsi="Times New Roman" w:cs="Times New Roman"/>
          <w:color w:val="FF0000"/>
          <w:sz w:val="24"/>
          <w:szCs w:val="24"/>
          <w:lang w:val="bg-BG"/>
        </w:rPr>
        <w:footnoteReference w:id="1"/>
      </w:r>
      <w:r w:rsidRPr="00022D73">
        <w:rPr>
          <w:rFonts w:ascii="Times New Roman" w:hAnsi="Times New Roman" w:cs="Times New Roman"/>
          <w:color w:val="FF0000"/>
          <w:sz w:val="24"/>
          <w:szCs w:val="24"/>
          <w:lang w:val="bg-BG"/>
        </w:rPr>
        <w:t>.</w:t>
      </w:r>
      <w:r w:rsidR="0002134B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="0002134B" w:rsidRPr="0002134B">
        <w:rPr>
          <w:rFonts w:ascii="Times New Roman" w:eastAsia="Calibri" w:hAnsi="Times New Roman" w:cs="Times New Roman"/>
          <w:sz w:val="24"/>
          <w:szCs w:val="24"/>
          <w:lang w:val="bg-BG"/>
        </w:rPr>
        <w:t>В случай че кандидатът/партньорите не са представили в НСИ финансови отчети за предходната финансова година, следва да се приложи Счетоводния баланс в секция 12 на ИСУН 2020 на етап подаване</w:t>
      </w:r>
      <w:r w:rsidR="0002134B" w:rsidRPr="00DC3857">
        <w:rPr>
          <w:rFonts w:ascii="Calibri" w:eastAsia="Calibri" w:hAnsi="Calibri" w:cs="Times New Roman"/>
          <w:sz w:val="24"/>
          <w:szCs w:val="24"/>
          <w:lang w:val="bg-BG"/>
        </w:rPr>
        <w:t xml:space="preserve"> на проектно предложение;</w:t>
      </w:r>
    </w:p>
    <w:p w:rsidR="0002134B" w:rsidRDefault="0002134B" w:rsidP="000213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C3857">
        <w:rPr>
          <w:rFonts w:ascii="Times New Roman" w:hAnsi="Times New Roman" w:cs="Times New Roman"/>
          <w:sz w:val="24"/>
          <w:szCs w:val="24"/>
          <w:lang w:val="bg-BG"/>
        </w:rPr>
        <w:t>В случай че финансовите отчети за предходната финансова година са подадени към Националния статистически институт (НСИ), се извършва служебна проверка от оценителната комисия за посочените стойности за текуща печалба/загуба, собствен капитал и стойност на актива.</w:t>
      </w:r>
    </w:p>
    <w:p w:rsidR="0002134B" w:rsidRDefault="0002134B" w:rsidP="000213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2134B" w:rsidRDefault="0002134B" w:rsidP="000213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C3857">
        <w:rPr>
          <w:rFonts w:ascii="Times New Roman" w:hAnsi="Times New Roman" w:cs="Times New Roman"/>
          <w:sz w:val="24"/>
          <w:szCs w:val="24"/>
          <w:lang w:val="bg-BG"/>
        </w:rPr>
        <w:t xml:space="preserve">Когато кандидатът/партньорът е новорегистрирана/новосъздадена организация през текущата година, следва да се приложи в секция 12 от ИСУН 2020 Счетоводен баланс за </w:t>
      </w:r>
      <w:r w:rsidRPr="00DC3857">
        <w:rPr>
          <w:rFonts w:ascii="Times New Roman" w:hAnsi="Times New Roman" w:cs="Times New Roman"/>
          <w:sz w:val="24"/>
          <w:szCs w:val="24"/>
          <w:lang w:val="bg-BG"/>
        </w:rPr>
        <w:lastRenderedPageBreak/>
        <w:t>периода от регистрацията на кандидата/партньора до последната дата на месеца, предхождащ месеца на кандидатстване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2134B" w:rsidRPr="0090257B" w:rsidRDefault="0002134B" w:rsidP="000213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2134B">
        <w:rPr>
          <w:rFonts w:ascii="Times New Roman" w:hAnsi="Times New Roman" w:cs="Times New Roman"/>
          <w:sz w:val="24"/>
          <w:szCs w:val="24"/>
          <w:lang w:val="bg-BG"/>
        </w:rPr>
        <w:t>Когато кандидат/партньор е община - това обстоятелство се проверява служебно от оценителната комисия в Закона за държавния бюджет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C5BBD" w:rsidRPr="00022D73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:rsidR="009C5BBD" w:rsidRDefault="009C5BBD" w:rsidP="009C5BB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 установи, че са налице индикации за затруднено финансово положение на кандидата, комисията ще отхвърли проектното предложение на етап „Административно съответствие и допустимост“.</w:t>
      </w:r>
    </w:p>
    <w:p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 финансова стабилност дава информация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Оценката се основава на няколко коефициента: </w:t>
      </w:r>
    </w:p>
    <w:p w:rsidR="009C5BBD" w:rsidRPr="0090257B" w:rsidRDefault="009C5BBD" w:rsidP="009C5BBD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:rsidR="009C5BBD" w:rsidRPr="0090257B" w:rsidRDefault="009C5BBD" w:rsidP="009C5BBD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коефициент за рентабилност. </w:t>
      </w:r>
    </w:p>
    <w:p w:rsidR="009C5BBD" w:rsidRPr="0090257B" w:rsidRDefault="009C5BBD" w:rsidP="009C5BBD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 специфичните характеристики на кандидатите и може да бъде използвана за организации с различни юридически форми от търговски </w:t>
      </w:r>
      <w:r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:rsidR="009C5BBD" w:rsidRPr="0090257B" w:rsidRDefault="009C5BBD" w:rsidP="009C5BBD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9C5BBD" w:rsidRPr="00E2541E" w:rsidRDefault="009C5BBD" w:rsidP="009C5BBD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Оценка на финансовата </w:t>
      </w:r>
      <w:r w:rsidRPr="00E2541E">
        <w:rPr>
          <w:rFonts w:ascii="Times New Roman" w:hAnsi="Times New Roman" w:cs="Times New Roman"/>
          <w:b/>
          <w:i/>
          <w:sz w:val="24"/>
          <w:szCs w:val="24"/>
          <w:lang w:val="bg-BG"/>
        </w:rPr>
        <w:t>стабилност</w:t>
      </w:r>
    </w:p>
    <w:p w:rsidR="009C5BBD" w:rsidRPr="00E2541E" w:rsidRDefault="009C5BBD" w:rsidP="009C5BBD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E2541E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:rsidR="009C5BBD" w:rsidRPr="004770D3" w:rsidRDefault="009C5BBD" w:rsidP="009C5BBD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I.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Финансова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 xml:space="preserve"> 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независимост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Собствен капитал (код 05000)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Сума на актива (код 04500)</m:t>
              </m:r>
            </m:den>
          </m:f>
        </m:oMath>
      </m:oMathPara>
    </w:p>
    <w:p w:rsidR="009C5BBD" w:rsidRDefault="009C5BBD" w:rsidP="009C5BBD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C5BBD" w:rsidRDefault="009C5BBD" w:rsidP="009C5BBD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6C0C">
        <w:rPr>
          <w:rFonts w:ascii="Times New Roman" w:eastAsiaTheme="minorEastAsia" w:hAnsi="Times New Roman" w:cs="Times New Roman"/>
          <w:sz w:val="36"/>
          <w:szCs w:val="36"/>
        </w:rPr>
        <w:t>II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3A6C0C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36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Сума на актива (код 04500)</m:t>
            </m:r>
          </m:den>
        </m:f>
      </m:oMath>
    </w:p>
    <w:p w:rsidR="009C5BBD" w:rsidRDefault="009C5BBD" w:rsidP="009C5BBD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отношение към общата сума на </w:t>
      </w:r>
      <w:r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е по-близо съотношението </w:t>
      </w:r>
      <w:r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външно финансиране.</w:t>
      </w:r>
    </w:p>
    <w:p w:rsidR="009C5BBD" w:rsidRDefault="009C5BBD" w:rsidP="009C5BBD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:rsidR="009C5BBD" w:rsidRPr="00754AE5" w:rsidRDefault="009C5BBD" w:rsidP="009C5BBD">
      <w:pPr>
        <w:pStyle w:val="a3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Оценка</w:t>
      </w:r>
    </w:p>
    <w:p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За да бъде определено нивото (лошо или добро) на финансовата стабилност на кандидатите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9C5BBD" w:rsidRPr="0090257B" w:rsidTr="000715A3">
        <w:tc>
          <w:tcPr>
            <w:tcW w:w="3544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9C5BBD" w:rsidRPr="0090257B" w:rsidTr="000715A3">
        <w:tc>
          <w:tcPr>
            <w:tcW w:w="3544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:rsidR="009C5BBD" w:rsidRPr="0090257B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9C5BBD" w:rsidRPr="0090257B" w:rsidTr="000715A3">
        <w:trPr>
          <w:cantSplit/>
        </w:trPr>
        <w:tc>
          <w:tcPr>
            <w:tcW w:w="3544" w:type="dxa"/>
            <w:vAlign w:val="center"/>
          </w:tcPr>
          <w:p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≥ 2%</w:t>
            </w:r>
          </w:p>
          <w:p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2%</w:t>
            </w:r>
          </w:p>
          <w:p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- 2%</w:t>
            </w:r>
          </w:p>
        </w:tc>
        <w:tc>
          <w:tcPr>
            <w:tcW w:w="1700" w:type="dxa"/>
            <w:vAlign w:val="center"/>
          </w:tcPr>
          <w:p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:rsidR="009C5BBD" w:rsidRDefault="009C5BBD" w:rsidP="009C5BBD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9C5BBD" w:rsidRPr="0090257B" w:rsidTr="000715A3">
        <w:tc>
          <w:tcPr>
            <w:tcW w:w="3402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9C5BBD" w:rsidRPr="0090257B" w:rsidTr="000715A3">
        <w:tc>
          <w:tcPr>
            <w:tcW w:w="3402" w:type="dxa"/>
            <w:vAlign w:val="center"/>
          </w:tcPr>
          <w:p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:rsidR="009C5BBD" w:rsidRPr="00754AE5" w:rsidRDefault="009C5BBD" w:rsidP="009C5BBD">
      <w:pPr>
        <w:pStyle w:val="a3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Тълкуване на резултатите</w:t>
      </w:r>
    </w:p>
    <w:p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основата на общата оценка кандидатите попадат в две основни категории:</w:t>
      </w:r>
    </w:p>
    <w:p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1. Добра финансова стабилност</w:t>
      </w:r>
    </w:p>
    <w:p w:rsidR="009C5BBD" w:rsidRPr="0090257B" w:rsidRDefault="009C5BBD" w:rsidP="009C5BBD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финансова помощ при нисък риск за средствата </w:t>
      </w:r>
      <w:r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2. Лоша финансова стабилност</w:t>
      </w:r>
    </w:p>
    <w:p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та комисия отхвърля проектното предложение на кандидата на етап „Административно съответствие и допустимост“.</w:t>
      </w:r>
    </w:p>
    <w:p w:rsidR="00C4321A" w:rsidRPr="00207120" w:rsidRDefault="00C4321A" w:rsidP="00207120">
      <w:pPr>
        <w:spacing w:after="0" w:line="360" w:lineRule="auto"/>
        <w:ind w:left="710"/>
        <w:rPr>
          <w:rFonts w:ascii="Times New Roman" w:hAnsi="Times New Roman" w:cs="Times New Roman"/>
          <w:sz w:val="24"/>
          <w:szCs w:val="24"/>
          <w:lang w:val="bg-BG"/>
        </w:rPr>
      </w:pPr>
    </w:p>
    <w:sectPr w:rsidR="00C4321A" w:rsidRPr="00207120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C86" w:rsidRDefault="004E7C86" w:rsidP="00B938A0">
      <w:pPr>
        <w:spacing w:after="0" w:line="240" w:lineRule="auto"/>
      </w:pPr>
      <w:r>
        <w:separator/>
      </w:r>
    </w:p>
  </w:endnote>
  <w:endnote w:type="continuationSeparator" w:id="0">
    <w:p w:rsidR="004E7C86" w:rsidRDefault="004E7C86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C86" w:rsidRDefault="004E7C86" w:rsidP="00B938A0">
      <w:pPr>
        <w:spacing w:after="0" w:line="240" w:lineRule="auto"/>
      </w:pPr>
      <w:r>
        <w:separator/>
      </w:r>
    </w:p>
  </w:footnote>
  <w:footnote w:type="continuationSeparator" w:id="0">
    <w:p w:rsidR="004E7C86" w:rsidRDefault="004E7C86" w:rsidP="00B938A0">
      <w:pPr>
        <w:spacing w:after="0" w:line="240" w:lineRule="auto"/>
      </w:pPr>
      <w:r>
        <w:continuationSeparator/>
      </w:r>
    </w:p>
  </w:footnote>
  <w:footnote w:id="1">
    <w:p w:rsidR="009C5BBD" w:rsidRPr="00AA7520" w:rsidRDefault="009C5BBD" w:rsidP="009C5BBD">
      <w:pPr>
        <w:pStyle w:val="af0"/>
        <w:rPr>
          <w:lang w:val="bg-BG"/>
        </w:rPr>
      </w:pPr>
      <w:r>
        <w:rPr>
          <w:rStyle w:val="af2"/>
        </w:rPr>
        <w:footnoteRef/>
      </w:r>
      <w:r>
        <w:t xml:space="preserve"> </w:t>
      </w:r>
      <w:r>
        <w:rPr>
          <w:lang w:val="bg-BG"/>
        </w:rPr>
        <w:t>В зависимост от предвиденото в Условията за кандидатстване по процедура</w:t>
      </w:r>
      <w:r w:rsidR="00207120">
        <w:rPr>
          <w:lang w:val="bg-BG"/>
        </w:rPr>
        <w:t>та</w:t>
      </w:r>
      <w:r>
        <w:rPr>
          <w:lang w:val="bg-BG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460"/>
    <w:rsid w:val="00011B1E"/>
    <w:rsid w:val="0002134B"/>
    <w:rsid w:val="000229E1"/>
    <w:rsid w:val="00022D73"/>
    <w:rsid w:val="00025870"/>
    <w:rsid w:val="000330D5"/>
    <w:rsid w:val="00067A31"/>
    <w:rsid w:val="000E595F"/>
    <w:rsid w:val="00102707"/>
    <w:rsid w:val="00106B39"/>
    <w:rsid w:val="00162BE1"/>
    <w:rsid w:val="0018089E"/>
    <w:rsid w:val="001B39F2"/>
    <w:rsid w:val="001D41F5"/>
    <w:rsid w:val="001D5467"/>
    <w:rsid w:val="00207120"/>
    <w:rsid w:val="0021304A"/>
    <w:rsid w:val="00225277"/>
    <w:rsid w:val="00265F3F"/>
    <w:rsid w:val="00275BB5"/>
    <w:rsid w:val="002A2527"/>
    <w:rsid w:val="002E05D6"/>
    <w:rsid w:val="00304175"/>
    <w:rsid w:val="00305095"/>
    <w:rsid w:val="00305CE0"/>
    <w:rsid w:val="003200C9"/>
    <w:rsid w:val="003A4DF2"/>
    <w:rsid w:val="003C5116"/>
    <w:rsid w:val="003E50D7"/>
    <w:rsid w:val="003E5162"/>
    <w:rsid w:val="003F4DBC"/>
    <w:rsid w:val="00401CE9"/>
    <w:rsid w:val="00401FCE"/>
    <w:rsid w:val="00417DCE"/>
    <w:rsid w:val="004313F7"/>
    <w:rsid w:val="0045595E"/>
    <w:rsid w:val="004617B8"/>
    <w:rsid w:val="00471FC2"/>
    <w:rsid w:val="00492ACD"/>
    <w:rsid w:val="004E0E1E"/>
    <w:rsid w:val="004E7C86"/>
    <w:rsid w:val="004F2B1C"/>
    <w:rsid w:val="00540FE6"/>
    <w:rsid w:val="00550B6F"/>
    <w:rsid w:val="00553A92"/>
    <w:rsid w:val="005615DB"/>
    <w:rsid w:val="005751E8"/>
    <w:rsid w:val="0057652F"/>
    <w:rsid w:val="005964EE"/>
    <w:rsid w:val="005A2CD6"/>
    <w:rsid w:val="005B1B90"/>
    <w:rsid w:val="005C3D7A"/>
    <w:rsid w:val="005E0E81"/>
    <w:rsid w:val="005E1B50"/>
    <w:rsid w:val="005E77DC"/>
    <w:rsid w:val="006369D2"/>
    <w:rsid w:val="0066504F"/>
    <w:rsid w:val="00683044"/>
    <w:rsid w:val="006939C0"/>
    <w:rsid w:val="006A5DDC"/>
    <w:rsid w:val="006E11C9"/>
    <w:rsid w:val="00720EC0"/>
    <w:rsid w:val="00722AEE"/>
    <w:rsid w:val="007352C8"/>
    <w:rsid w:val="00754AE5"/>
    <w:rsid w:val="007628C7"/>
    <w:rsid w:val="00786495"/>
    <w:rsid w:val="007A6DAD"/>
    <w:rsid w:val="007C36FB"/>
    <w:rsid w:val="007D4C04"/>
    <w:rsid w:val="007E2FC8"/>
    <w:rsid w:val="007E39A3"/>
    <w:rsid w:val="007E79C0"/>
    <w:rsid w:val="00811432"/>
    <w:rsid w:val="0082006C"/>
    <w:rsid w:val="00826A81"/>
    <w:rsid w:val="00852E58"/>
    <w:rsid w:val="00853BE3"/>
    <w:rsid w:val="008909E8"/>
    <w:rsid w:val="008951F9"/>
    <w:rsid w:val="008C4A97"/>
    <w:rsid w:val="008C56E2"/>
    <w:rsid w:val="00901460"/>
    <w:rsid w:val="0090257B"/>
    <w:rsid w:val="009264A6"/>
    <w:rsid w:val="0093468B"/>
    <w:rsid w:val="00970883"/>
    <w:rsid w:val="00996CD1"/>
    <w:rsid w:val="009B6BA8"/>
    <w:rsid w:val="009C1D21"/>
    <w:rsid w:val="009C5BBD"/>
    <w:rsid w:val="009E4DD1"/>
    <w:rsid w:val="009E6616"/>
    <w:rsid w:val="009F4130"/>
    <w:rsid w:val="009F7052"/>
    <w:rsid w:val="00A12002"/>
    <w:rsid w:val="00A95996"/>
    <w:rsid w:val="00AC30D9"/>
    <w:rsid w:val="00B1472B"/>
    <w:rsid w:val="00B25DEA"/>
    <w:rsid w:val="00B54B0F"/>
    <w:rsid w:val="00B60166"/>
    <w:rsid w:val="00B938A0"/>
    <w:rsid w:val="00BA0182"/>
    <w:rsid w:val="00BA11D9"/>
    <w:rsid w:val="00BD3655"/>
    <w:rsid w:val="00BE205E"/>
    <w:rsid w:val="00BF0B9A"/>
    <w:rsid w:val="00BF6ADB"/>
    <w:rsid w:val="00C01AC6"/>
    <w:rsid w:val="00C4321A"/>
    <w:rsid w:val="00C46FB4"/>
    <w:rsid w:val="00C502A1"/>
    <w:rsid w:val="00C92B50"/>
    <w:rsid w:val="00CB189B"/>
    <w:rsid w:val="00CD287E"/>
    <w:rsid w:val="00CF1C47"/>
    <w:rsid w:val="00D10335"/>
    <w:rsid w:val="00D12140"/>
    <w:rsid w:val="00D274CD"/>
    <w:rsid w:val="00D56C7A"/>
    <w:rsid w:val="00D84194"/>
    <w:rsid w:val="00D86AD8"/>
    <w:rsid w:val="00D90B7C"/>
    <w:rsid w:val="00DC6AA5"/>
    <w:rsid w:val="00DE6775"/>
    <w:rsid w:val="00E15C50"/>
    <w:rsid w:val="00E441C4"/>
    <w:rsid w:val="00E83B40"/>
    <w:rsid w:val="00ED38A4"/>
    <w:rsid w:val="00F1576F"/>
    <w:rsid w:val="00F31669"/>
    <w:rsid w:val="00F34A34"/>
    <w:rsid w:val="00F52830"/>
    <w:rsid w:val="00F63B61"/>
    <w:rsid w:val="00F66FFC"/>
    <w:rsid w:val="00F72A0E"/>
    <w:rsid w:val="00FC19CB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7D83C-6469-4F8D-824E-11151D55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C5A6A-7938-4C46-9B1D-C20D0A7F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4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Krasa</cp:lastModifiedBy>
  <cp:revision>106</cp:revision>
  <dcterms:created xsi:type="dcterms:W3CDTF">2015-05-14T13:29:00Z</dcterms:created>
  <dcterms:modified xsi:type="dcterms:W3CDTF">2019-01-28T09:41:00Z</dcterms:modified>
</cp:coreProperties>
</file>